
<file path=[Content_Types].xml><?xml version="1.0" encoding="utf-8"?>
<Types xmlns="http://schemas.openxmlformats.org/package/2006/content-types">
  <Default Extension="emf" ContentType="image/x-emf"/>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56AAA" w14:textId="71B8F180" w:rsidR="00F545A5" w:rsidRPr="00E236CE" w:rsidRDefault="00D114A7">
      <w:pPr>
        <w:rPr>
          <w:b/>
          <w:bCs/>
        </w:rPr>
      </w:pPr>
      <w:r w:rsidRPr="00E236CE">
        <w:rPr>
          <w:b/>
          <w:bCs/>
        </w:rPr>
        <w:t>PRU and AP provision</w:t>
      </w:r>
      <w:r w:rsidR="00E236CE">
        <w:rPr>
          <w:b/>
          <w:bCs/>
        </w:rPr>
        <w:t xml:space="preserve"> – Pathfinder comparison KS4 GCSE outcome data</w:t>
      </w:r>
    </w:p>
    <w:p w14:paraId="40DE1940" w14:textId="5983B3DF" w:rsidR="00FC2A06" w:rsidRDefault="00FC2A06">
      <w:r>
        <w:t>Source of national data (DfE 2024)</w:t>
      </w:r>
    </w:p>
    <w:p w14:paraId="02383C6C" w14:textId="7A487A7F" w:rsidR="00FC2A06" w:rsidRDefault="00FC2A06">
      <w:r>
        <w:object w:dxaOrig="1520" w:dyaOrig="985" w14:anchorId="7314A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4" o:title=""/>
          </v:shape>
          <o:OLEObject Type="Embed" ProgID="Excel.SheetMacroEnabled.12" ShapeID="_x0000_i1025" DrawAspect="Icon" ObjectID="_1817279628" r:id="rId5"/>
        </w:object>
      </w:r>
    </w:p>
    <w:p w14:paraId="329CBD2E" w14:textId="10712F90" w:rsidR="00D114A7" w:rsidRDefault="00291DFE">
      <w:r>
        <w:t xml:space="preserve">In 2023/24, 47,612 pupils were in AP type provision (source: </w:t>
      </w:r>
      <w:hyperlink r:id="rId6" w:history="1">
        <w:r w:rsidRPr="009C4399">
          <w:rPr>
            <w:rStyle w:val="Hyperlink"/>
          </w:rPr>
          <w:t>https://explore-education-statistics.service.gov.uk/data-tables/fast-track/3ef43f8b-2bc8-4047-3e0a-08dc65d12a8f</w:t>
        </w:r>
      </w:hyperlink>
      <w:r>
        <w:t xml:space="preserve">) While difficult to determine precise numbers of Y11 in AP and PRU, research suggests it is c.48%, approximating to 22,000 pupils. </w:t>
      </w:r>
    </w:p>
    <w:tbl>
      <w:tblPr>
        <w:tblStyle w:val="TableGrid"/>
        <w:tblW w:w="0" w:type="auto"/>
        <w:tblLook w:val="04A0" w:firstRow="1" w:lastRow="0" w:firstColumn="1" w:lastColumn="0" w:noHBand="0" w:noVBand="1"/>
      </w:tblPr>
      <w:tblGrid>
        <w:gridCol w:w="1192"/>
        <w:gridCol w:w="1638"/>
        <w:gridCol w:w="1701"/>
        <w:gridCol w:w="1701"/>
        <w:gridCol w:w="1701"/>
        <w:gridCol w:w="1843"/>
        <w:gridCol w:w="1843"/>
        <w:gridCol w:w="1701"/>
      </w:tblGrid>
      <w:tr w:rsidR="00EF592E" w14:paraId="08BC611A" w14:textId="252FECCB" w:rsidTr="00FF47CF">
        <w:tc>
          <w:tcPr>
            <w:tcW w:w="1192" w:type="dxa"/>
          </w:tcPr>
          <w:p w14:paraId="47F282C5" w14:textId="77777777" w:rsidR="00EF592E" w:rsidRDefault="00EF592E"/>
        </w:tc>
        <w:tc>
          <w:tcPr>
            <w:tcW w:w="1638" w:type="dxa"/>
          </w:tcPr>
          <w:p w14:paraId="39C3A584" w14:textId="60A70731" w:rsidR="00EF592E" w:rsidRDefault="00EF592E">
            <w:r>
              <w:t>National numbers of pupils achieving grade 4+ (2024)</w:t>
            </w:r>
          </w:p>
        </w:tc>
        <w:tc>
          <w:tcPr>
            <w:tcW w:w="1701" w:type="dxa"/>
          </w:tcPr>
          <w:p w14:paraId="1896D99E" w14:textId="5BBCE0A8" w:rsidR="00EF592E" w:rsidRDefault="00EF592E">
            <w:r>
              <w:t>National number of entries (2024)</w:t>
            </w:r>
          </w:p>
        </w:tc>
        <w:tc>
          <w:tcPr>
            <w:tcW w:w="1701" w:type="dxa"/>
          </w:tcPr>
          <w:p w14:paraId="3C1A08B0" w14:textId="3BBACB5E" w:rsidR="00EF592E" w:rsidRDefault="00EF592E">
            <w:r>
              <w:t xml:space="preserve">Approximate </w:t>
            </w:r>
            <w:r w:rsidR="00E236CE">
              <w:t xml:space="preserve">national </w:t>
            </w:r>
            <w:r>
              <w:t>numbers of Y11 pupils in AP and PRU 2024</w:t>
            </w:r>
          </w:p>
        </w:tc>
        <w:tc>
          <w:tcPr>
            <w:tcW w:w="1701" w:type="dxa"/>
          </w:tcPr>
          <w:p w14:paraId="3D8FA34C" w14:textId="489CA2B0" w:rsidR="00EF592E" w:rsidRDefault="00EF592E">
            <w:r>
              <w:t xml:space="preserve">National Grade 4+ % of pupils based on </w:t>
            </w:r>
            <w:r w:rsidRPr="006664A1">
              <w:rPr>
                <w:u w:val="single"/>
              </w:rPr>
              <w:t>entries</w:t>
            </w:r>
            <w:r>
              <w:t xml:space="preserve"> (2024 data) not total number of pupils in provision</w:t>
            </w:r>
          </w:p>
        </w:tc>
        <w:tc>
          <w:tcPr>
            <w:tcW w:w="1843" w:type="dxa"/>
          </w:tcPr>
          <w:p w14:paraId="4A786B62" w14:textId="65A3F18A" w:rsidR="00EF592E" w:rsidRDefault="00EF592E">
            <w:r>
              <w:t xml:space="preserve">PFA grade 4+ (2025) % of </w:t>
            </w:r>
            <w:r w:rsidRPr="006664A1">
              <w:rPr>
                <w:u w:val="single"/>
              </w:rPr>
              <w:t>entries</w:t>
            </w:r>
            <w:r>
              <w:t xml:space="preserve"> not total number of pupils in provision</w:t>
            </w:r>
          </w:p>
        </w:tc>
        <w:tc>
          <w:tcPr>
            <w:tcW w:w="1843" w:type="dxa"/>
            <w:shd w:val="clear" w:color="auto" w:fill="FFFF00"/>
          </w:tcPr>
          <w:p w14:paraId="1C23CD22" w14:textId="59B02DC8" w:rsidR="00EF592E" w:rsidRDefault="00EF592E">
            <w:r>
              <w:t xml:space="preserve">National Grade 4+ % of pupils based on </w:t>
            </w:r>
            <w:r>
              <w:rPr>
                <w:u w:val="single"/>
              </w:rPr>
              <w:t>pupils in provision</w:t>
            </w:r>
            <w:r>
              <w:t xml:space="preserve"> (2024 data) </w:t>
            </w:r>
          </w:p>
        </w:tc>
        <w:tc>
          <w:tcPr>
            <w:tcW w:w="1701" w:type="dxa"/>
            <w:shd w:val="clear" w:color="auto" w:fill="FFFF00"/>
          </w:tcPr>
          <w:p w14:paraId="3A9BE710" w14:textId="7B3007E1" w:rsidR="00EF592E" w:rsidRDefault="00993294">
            <w:r>
              <w:t xml:space="preserve">PFA </w:t>
            </w:r>
            <w:r w:rsidR="00EF592E">
              <w:t xml:space="preserve">Grade 4+ % of pupils based on </w:t>
            </w:r>
            <w:r w:rsidR="00EF592E">
              <w:rPr>
                <w:u w:val="single"/>
              </w:rPr>
              <w:t>pupils in PFA provision</w:t>
            </w:r>
            <w:r w:rsidR="00EF592E">
              <w:t xml:space="preserve"> (2024 data) </w:t>
            </w:r>
          </w:p>
        </w:tc>
      </w:tr>
      <w:tr w:rsidR="00EF592E" w14:paraId="653897CA" w14:textId="09FC16F3" w:rsidTr="00FF47CF">
        <w:tc>
          <w:tcPr>
            <w:tcW w:w="1192" w:type="dxa"/>
          </w:tcPr>
          <w:p w14:paraId="3DE5D566" w14:textId="09656B12" w:rsidR="00EF592E" w:rsidRDefault="00EF592E">
            <w:r>
              <w:t>Any English</w:t>
            </w:r>
          </w:p>
        </w:tc>
        <w:tc>
          <w:tcPr>
            <w:tcW w:w="1638" w:type="dxa"/>
          </w:tcPr>
          <w:p w14:paraId="35DD55F6" w14:textId="4ACBC5F1" w:rsidR="00EF592E" w:rsidRDefault="00EF592E">
            <w:r>
              <w:t>850</w:t>
            </w:r>
          </w:p>
        </w:tc>
        <w:tc>
          <w:tcPr>
            <w:tcW w:w="1701" w:type="dxa"/>
          </w:tcPr>
          <w:p w14:paraId="7504F91C" w14:textId="49722987" w:rsidR="00EF592E" w:rsidRDefault="00EF592E">
            <w:r>
              <w:t>5901</w:t>
            </w:r>
          </w:p>
        </w:tc>
        <w:tc>
          <w:tcPr>
            <w:tcW w:w="1701" w:type="dxa"/>
          </w:tcPr>
          <w:p w14:paraId="2AABC74E" w14:textId="361B98D9" w:rsidR="00EF592E" w:rsidRDefault="00EF592E">
            <w:r>
              <w:t>22000</w:t>
            </w:r>
          </w:p>
        </w:tc>
        <w:tc>
          <w:tcPr>
            <w:tcW w:w="1701" w:type="dxa"/>
          </w:tcPr>
          <w:p w14:paraId="35387150" w14:textId="4DCC1E1B" w:rsidR="00EF592E" w:rsidRDefault="00EF592E">
            <w:r>
              <w:t>14.4</w:t>
            </w:r>
          </w:p>
        </w:tc>
        <w:tc>
          <w:tcPr>
            <w:tcW w:w="1843" w:type="dxa"/>
          </w:tcPr>
          <w:p w14:paraId="515FD9EF" w14:textId="23B56A9E" w:rsidR="00EF592E" w:rsidRDefault="00194F9B">
            <w:r>
              <w:t>5.5</w:t>
            </w:r>
          </w:p>
        </w:tc>
        <w:tc>
          <w:tcPr>
            <w:tcW w:w="1843" w:type="dxa"/>
            <w:shd w:val="clear" w:color="auto" w:fill="FFFF00"/>
          </w:tcPr>
          <w:p w14:paraId="0F3D160E" w14:textId="63507F83" w:rsidR="00EF592E" w:rsidRDefault="00EF592E">
            <w:r>
              <w:t>3.8</w:t>
            </w:r>
          </w:p>
        </w:tc>
        <w:tc>
          <w:tcPr>
            <w:tcW w:w="1701" w:type="dxa"/>
            <w:shd w:val="clear" w:color="auto" w:fill="FFFF00"/>
          </w:tcPr>
          <w:p w14:paraId="27091C5B" w14:textId="542FD884" w:rsidR="00EF592E" w:rsidRDefault="00993294">
            <w:r>
              <w:t>5.2</w:t>
            </w:r>
          </w:p>
        </w:tc>
      </w:tr>
      <w:tr w:rsidR="00EF592E" w14:paraId="0F60D34F" w14:textId="23918BC1" w:rsidTr="00FF47CF">
        <w:tc>
          <w:tcPr>
            <w:tcW w:w="1192" w:type="dxa"/>
          </w:tcPr>
          <w:p w14:paraId="472404C9" w14:textId="1E23B274" w:rsidR="00EF592E" w:rsidRDefault="00EF592E">
            <w:r>
              <w:t>Any science</w:t>
            </w:r>
          </w:p>
        </w:tc>
        <w:tc>
          <w:tcPr>
            <w:tcW w:w="1638" w:type="dxa"/>
          </w:tcPr>
          <w:p w14:paraId="77E2FCEF" w14:textId="11ACF9E7" w:rsidR="00EF592E" w:rsidRDefault="00EF592E">
            <w:r>
              <w:t>499</w:t>
            </w:r>
          </w:p>
        </w:tc>
        <w:tc>
          <w:tcPr>
            <w:tcW w:w="1701" w:type="dxa"/>
          </w:tcPr>
          <w:p w14:paraId="4DA60C1C" w14:textId="2581D153" w:rsidR="00EF592E" w:rsidRDefault="00EF592E">
            <w:r>
              <w:t>3186</w:t>
            </w:r>
          </w:p>
        </w:tc>
        <w:tc>
          <w:tcPr>
            <w:tcW w:w="1701" w:type="dxa"/>
          </w:tcPr>
          <w:p w14:paraId="5EF7028D" w14:textId="41951E6F" w:rsidR="00EF592E" w:rsidRDefault="00EF592E">
            <w:r>
              <w:t>22000</w:t>
            </w:r>
          </w:p>
        </w:tc>
        <w:tc>
          <w:tcPr>
            <w:tcW w:w="1701" w:type="dxa"/>
          </w:tcPr>
          <w:p w14:paraId="4BD87C25" w14:textId="1B09B87B" w:rsidR="00EF592E" w:rsidRDefault="00EF592E">
            <w:r>
              <w:t>15.7</w:t>
            </w:r>
          </w:p>
        </w:tc>
        <w:tc>
          <w:tcPr>
            <w:tcW w:w="1843" w:type="dxa"/>
          </w:tcPr>
          <w:p w14:paraId="4B1F6B36" w14:textId="6816EA42" w:rsidR="00EF592E" w:rsidRDefault="00DC3474">
            <w:r>
              <w:t>4.0</w:t>
            </w:r>
          </w:p>
        </w:tc>
        <w:tc>
          <w:tcPr>
            <w:tcW w:w="1843" w:type="dxa"/>
            <w:shd w:val="clear" w:color="auto" w:fill="FFFF00"/>
          </w:tcPr>
          <w:p w14:paraId="1C7A626D" w14:textId="5A49FDD2" w:rsidR="00EF592E" w:rsidRDefault="00EF592E">
            <w:r>
              <w:t>2.2</w:t>
            </w:r>
          </w:p>
        </w:tc>
        <w:tc>
          <w:tcPr>
            <w:tcW w:w="1701" w:type="dxa"/>
            <w:shd w:val="clear" w:color="auto" w:fill="FFFF00"/>
          </w:tcPr>
          <w:p w14:paraId="21AB2389" w14:textId="3DDBEA5D" w:rsidR="00EF592E" w:rsidRDefault="007238D9">
            <w:r>
              <w:t>3.1</w:t>
            </w:r>
          </w:p>
        </w:tc>
      </w:tr>
      <w:tr w:rsidR="00EF592E" w14:paraId="5F3D893D" w14:textId="3D7F0FFE" w:rsidTr="00FF47CF">
        <w:tc>
          <w:tcPr>
            <w:tcW w:w="1192" w:type="dxa"/>
          </w:tcPr>
          <w:p w14:paraId="10972544" w14:textId="3E011503" w:rsidR="00EF592E" w:rsidRDefault="00EF592E">
            <w:r>
              <w:t>Any maths</w:t>
            </w:r>
          </w:p>
        </w:tc>
        <w:tc>
          <w:tcPr>
            <w:tcW w:w="1638" w:type="dxa"/>
          </w:tcPr>
          <w:p w14:paraId="75753774" w14:textId="19C8EA36" w:rsidR="00EF592E" w:rsidRDefault="00EF592E">
            <w:r>
              <w:t>616</w:t>
            </w:r>
          </w:p>
        </w:tc>
        <w:tc>
          <w:tcPr>
            <w:tcW w:w="1701" w:type="dxa"/>
          </w:tcPr>
          <w:p w14:paraId="7AF7249C" w14:textId="5FACB5D8" w:rsidR="00EF592E" w:rsidRDefault="00EF592E">
            <w:r>
              <w:t>4752</w:t>
            </w:r>
          </w:p>
        </w:tc>
        <w:tc>
          <w:tcPr>
            <w:tcW w:w="1701" w:type="dxa"/>
          </w:tcPr>
          <w:p w14:paraId="6CD48FD1" w14:textId="08359513" w:rsidR="00EF592E" w:rsidRDefault="00EF592E">
            <w:r>
              <w:t>22000</w:t>
            </w:r>
          </w:p>
        </w:tc>
        <w:tc>
          <w:tcPr>
            <w:tcW w:w="1701" w:type="dxa"/>
          </w:tcPr>
          <w:p w14:paraId="117D5196" w14:textId="4529BA15" w:rsidR="00EF592E" w:rsidRDefault="00EF592E">
            <w:r>
              <w:t>13.0</w:t>
            </w:r>
          </w:p>
        </w:tc>
        <w:tc>
          <w:tcPr>
            <w:tcW w:w="1843" w:type="dxa"/>
          </w:tcPr>
          <w:p w14:paraId="0FAF9D98" w14:textId="35756CB7" w:rsidR="00EF592E" w:rsidRDefault="00DD232D">
            <w:r>
              <w:t>5.5</w:t>
            </w:r>
          </w:p>
        </w:tc>
        <w:tc>
          <w:tcPr>
            <w:tcW w:w="1843" w:type="dxa"/>
            <w:shd w:val="clear" w:color="auto" w:fill="FFFF00"/>
          </w:tcPr>
          <w:p w14:paraId="1A822922" w14:textId="365F225F" w:rsidR="00EF592E" w:rsidRDefault="00EF592E">
            <w:r>
              <w:t>2.8</w:t>
            </w:r>
          </w:p>
        </w:tc>
        <w:tc>
          <w:tcPr>
            <w:tcW w:w="1701" w:type="dxa"/>
            <w:shd w:val="clear" w:color="auto" w:fill="FFFF00"/>
          </w:tcPr>
          <w:p w14:paraId="4E955937" w14:textId="2B71D0E2" w:rsidR="00EF592E" w:rsidRDefault="00DD232D">
            <w:r>
              <w:t>5.2</w:t>
            </w:r>
          </w:p>
        </w:tc>
      </w:tr>
      <w:tr w:rsidR="00EF592E" w14:paraId="0B47B254" w14:textId="528C79EE" w:rsidTr="00FF47CF">
        <w:tc>
          <w:tcPr>
            <w:tcW w:w="1192" w:type="dxa"/>
          </w:tcPr>
          <w:p w14:paraId="56C6CBC4" w14:textId="77E9B21D" w:rsidR="00EF592E" w:rsidRDefault="00EF592E">
            <w:r>
              <w:t xml:space="preserve">Any art </w:t>
            </w:r>
          </w:p>
        </w:tc>
        <w:tc>
          <w:tcPr>
            <w:tcW w:w="1638" w:type="dxa"/>
          </w:tcPr>
          <w:p w14:paraId="441EE19C" w14:textId="15B9BAFD" w:rsidR="00EF592E" w:rsidRDefault="00EF592E">
            <w:r>
              <w:t>355</w:t>
            </w:r>
          </w:p>
        </w:tc>
        <w:tc>
          <w:tcPr>
            <w:tcW w:w="1701" w:type="dxa"/>
          </w:tcPr>
          <w:p w14:paraId="3C8C3861" w14:textId="29653A24" w:rsidR="00EF592E" w:rsidRDefault="00EF592E">
            <w:r>
              <w:t>1147</w:t>
            </w:r>
          </w:p>
        </w:tc>
        <w:tc>
          <w:tcPr>
            <w:tcW w:w="1701" w:type="dxa"/>
          </w:tcPr>
          <w:p w14:paraId="1E9B4280" w14:textId="6592E1A4" w:rsidR="00EF592E" w:rsidRDefault="00EF592E">
            <w:r>
              <w:t>22000</w:t>
            </w:r>
          </w:p>
        </w:tc>
        <w:tc>
          <w:tcPr>
            <w:tcW w:w="1701" w:type="dxa"/>
          </w:tcPr>
          <w:p w14:paraId="2383F98B" w14:textId="319E3D1D" w:rsidR="00EF592E" w:rsidRDefault="00EF592E">
            <w:r>
              <w:t>31.0</w:t>
            </w:r>
          </w:p>
        </w:tc>
        <w:tc>
          <w:tcPr>
            <w:tcW w:w="1843" w:type="dxa"/>
          </w:tcPr>
          <w:p w14:paraId="19090D16" w14:textId="56C14FA9" w:rsidR="00EF592E" w:rsidRDefault="00907961">
            <w:r>
              <w:t>54.0</w:t>
            </w:r>
          </w:p>
        </w:tc>
        <w:tc>
          <w:tcPr>
            <w:tcW w:w="1843" w:type="dxa"/>
            <w:shd w:val="clear" w:color="auto" w:fill="FFFF00"/>
          </w:tcPr>
          <w:p w14:paraId="182D794C" w14:textId="1ECF8261" w:rsidR="00EF592E" w:rsidRDefault="00EF592E">
            <w:r>
              <w:t>1.6</w:t>
            </w:r>
          </w:p>
        </w:tc>
        <w:tc>
          <w:tcPr>
            <w:tcW w:w="1701" w:type="dxa"/>
            <w:shd w:val="clear" w:color="auto" w:fill="FFFF00"/>
          </w:tcPr>
          <w:p w14:paraId="722E8F53" w14:textId="7DF43503" w:rsidR="00EF592E" w:rsidRDefault="003774FD">
            <w:r>
              <w:t>6.1</w:t>
            </w:r>
          </w:p>
        </w:tc>
      </w:tr>
    </w:tbl>
    <w:p w14:paraId="53C2C46F" w14:textId="4541FAC7" w:rsidR="00D114A7" w:rsidRDefault="00D114A7"/>
    <w:p w14:paraId="0F3E8B8C" w14:textId="42C927DA" w:rsidR="00FF47CF" w:rsidRDefault="00FF47CF">
      <w:r>
        <w:t>Pathfinder enters more students for GCSE English, maths and science than national which is why results based on entries appears lower for these subjects. Most appropriate comparator is highlighted as that is results based on total number of pupils in the provision.</w:t>
      </w:r>
    </w:p>
    <w:p w14:paraId="3A0AA8FE" w14:textId="4601E719" w:rsidR="00FF47CF" w:rsidRDefault="00FF47CF"/>
    <w:p w14:paraId="520B8738" w14:textId="77777777" w:rsidR="00FF47CF" w:rsidRDefault="00FF47CF"/>
    <w:tbl>
      <w:tblPr>
        <w:tblStyle w:val="TableGrid"/>
        <w:tblW w:w="0" w:type="auto"/>
        <w:tblLook w:val="04A0" w:firstRow="1" w:lastRow="0" w:firstColumn="1" w:lastColumn="0" w:noHBand="0" w:noVBand="1"/>
      </w:tblPr>
      <w:tblGrid>
        <w:gridCol w:w="2830"/>
        <w:gridCol w:w="1843"/>
        <w:gridCol w:w="1701"/>
        <w:gridCol w:w="1559"/>
        <w:gridCol w:w="1418"/>
        <w:gridCol w:w="1417"/>
        <w:gridCol w:w="1417"/>
        <w:gridCol w:w="1417"/>
      </w:tblGrid>
      <w:tr w:rsidR="00E236CE" w14:paraId="6F630285" w14:textId="59A00F55" w:rsidTr="00FF1D36">
        <w:tc>
          <w:tcPr>
            <w:tcW w:w="2830" w:type="dxa"/>
          </w:tcPr>
          <w:p w14:paraId="483533FB" w14:textId="77777777" w:rsidR="00E236CE" w:rsidRDefault="00E236CE"/>
        </w:tc>
        <w:tc>
          <w:tcPr>
            <w:tcW w:w="1843" w:type="dxa"/>
          </w:tcPr>
          <w:p w14:paraId="538A41E6" w14:textId="1925EE64" w:rsidR="00E236CE" w:rsidRDefault="00E236CE">
            <w:r>
              <w:t>National (2024) based on numbers of pupils</w:t>
            </w:r>
          </w:p>
        </w:tc>
        <w:tc>
          <w:tcPr>
            <w:tcW w:w="1701" w:type="dxa"/>
          </w:tcPr>
          <w:p w14:paraId="11BA7636" w14:textId="0B66C6E0" w:rsidR="00E236CE" w:rsidRDefault="00E236CE">
            <w:r>
              <w:t>National (2024) total number of entries</w:t>
            </w:r>
          </w:p>
        </w:tc>
        <w:tc>
          <w:tcPr>
            <w:tcW w:w="1559" w:type="dxa"/>
          </w:tcPr>
          <w:p w14:paraId="02BF4183" w14:textId="73DB2E8F" w:rsidR="00E236CE" w:rsidRDefault="00E236CE">
            <w:r>
              <w:t>Approximate national number of pupils in AP and PRU 2024</w:t>
            </w:r>
          </w:p>
        </w:tc>
        <w:tc>
          <w:tcPr>
            <w:tcW w:w="1418" w:type="dxa"/>
          </w:tcPr>
          <w:p w14:paraId="3C18001F" w14:textId="3281DB83" w:rsidR="00E236CE" w:rsidRDefault="00E236CE">
            <w:r>
              <w:t>National (2024 data) based on entries %</w:t>
            </w:r>
          </w:p>
        </w:tc>
        <w:tc>
          <w:tcPr>
            <w:tcW w:w="1417" w:type="dxa"/>
          </w:tcPr>
          <w:p w14:paraId="7FC97A3A" w14:textId="38968045" w:rsidR="00E236CE" w:rsidRDefault="00E236CE">
            <w:r>
              <w:t>PFA (2025) based on entries %</w:t>
            </w:r>
          </w:p>
        </w:tc>
        <w:tc>
          <w:tcPr>
            <w:tcW w:w="1417" w:type="dxa"/>
          </w:tcPr>
          <w:p w14:paraId="5F8DF563" w14:textId="0E692657" w:rsidR="00E236CE" w:rsidRDefault="00E236CE">
            <w:r>
              <w:t>National (2024 data) based on pupils in provision %</w:t>
            </w:r>
          </w:p>
        </w:tc>
        <w:tc>
          <w:tcPr>
            <w:tcW w:w="1417" w:type="dxa"/>
          </w:tcPr>
          <w:p w14:paraId="6C7919FA" w14:textId="1ECFFBA0" w:rsidR="00E236CE" w:rsidRDefault="00E236CE">
            <w:r>
              <w:t>PFA (2025) based on pupils in provision %</w:t>
            </w:r>
          </w:p>
        </w:tc>
      </w:tr>
      <w:tr w:rsidR="00E236CE" w14:paraId="434E61FF" w14:textId="7CE66D73" w:rsidTr="00FF1D36">
        <w:tc>
          <w:tcPr>
            <w:tcW w:w="2830" w:type="dxa"/>
          </w:tcPr>
          <w:p w14:paraId="7F50402A" w14:textId="6571CCC7" w:rsidR="00E236CE" w:rsidRDefault="00E236CE">
            <w:r>
              <w:t>pupils gaining at least 1 GCSE grade 1+ based on entries</w:t>
            </w:r>
          </w:p>
        </w:tc>
        <w:tc>
          <w:tcPr>
            <w:tcW w:w="1843" w:type="dxa"/>
          </w:tcPr>
          <w:p w14:paraId="2D2C6437" w14:textId="3F987791" w:rsidR="00E236CE" w:rsidRDefault="00E236CE">
            <w:r>
              <w:t>13425</w:t>
            </w:r>
          </w:p>
        </w:tc>
        <w:tc>
          <w:tcPr>
            <w:tcW w:w="1701" w:type="dxa"/>
          </w:tcPr>
          <w:p w14:paraId="2722256F" w14:textId="22D65A5C" w:rsidR="00E236CE" w:rsidRDefault="00E236CE">
            <w:r>
              <w:t>16980</w:t>
            </w:r>
          </w:p>
        </w:tc>
        <w:tc>
          <w:tcPr>
            <w:tcW w:w="1559" w:type="dxa"/>
          </w:tcPr>
          <w:p w14:paraId="1F1CEAA0" w14:textId="3DC48513" w:rsidR="00E236CE" w:rsidRDefault="00E236CE">
            <w:r>
              <w:t>22000</w:t>
            </w:r>
          </w:p>
        </w:tc>
        <w:tc>
          <w:tcPr>
            <w:tcW w:w="1418" w:type="dxa"/>
          </w:tcPr>
          <w:p w14:paraId="44BA8A09" w14:textId="711583F5" w:rsidR="00E236CE" w:rsidRDefault="00E236CE">
            <w:r>
              <w:t>79</w:t>
            </w:r>
          </w:p>
        </w:tc>
        <w:tc>
          <w:tcPr>
            <w:tcW w:w="1417" w:type="dxa"/>
          </w:tcPr>
          <w:p w14:paraId="1F6D3979" w14:textId="28A2B973" w:rsidR="00E236CE" w:rsidRDefault="006130C6">
            <w:r>
              <w:t>62</w:t>
            </w:r>
          </w:p>
        </w:tc>
        <w:tc>
          <w:tcPr>
            <w:tcW w:w="1417" w:type="dxa"/>
          </w:tcPr>
          <w:p w14:paraId="31E3657B" w14:textId="31065D1D" w:rsidR="00E236CE" w:rsidRDefault="00E236CE">
            <w:r>
              <w:t xml:space="preserve">61 </w:t>
            </w:r>
          </w:p>
        </w:tc>
        <w:tc>
          <w:tcPr>
            <w:tcW w:w="1417" w:type="dxa"/>
          </w:tcPr>
          <w:p w14:paraId="2F01C8B1" w14:textId="7736E0CC" w:rsidR="00E236CE" w:rsidRDefault="00947D39">
            <w:r>
              <w:t>57</w:t>
            </w:r>
          </w:p>
        </w:tc>
      </w:tr>
      <w:tr w:rsidR="00E236CE" w14:paraId="068CA807" w14:textId="727D0823" w:rsidTr="00FF1D36">
        <w:tc>
          <w:tcPr>
            <w:tcW w:w="2830" w:type="dxa"/>
          </w:tcPr>
          <w:p w14:paraId="31124E9A" w14:textId="68CDC674" w:rsidR="00E236CE" w:rsidRDefault="00E236CE">
            <w:r>
              <w:t>% pupils gaining at least 1 GCSE grade 2+ based on entries</w:t>
            </w:r>
            <w:r w:rsidR="00FF47CF">
              <w:t xml:space="preserve"> (any subject)</w:t>
            </w:r>
          </w:p>
        </w:tc>
        <w:tc>
          <w:tcPr>
            <w:tcW w:w="1843" w:type="dxa"/>
          </w:tcPr>
          <w:p w14:paraId="68E91742" w14:textId="71CF3802" w:rsidR="00E236CE" w:rsidRDefault="00E236CE">
            <w:r>
              <w:t>9823</w:t>
            </w:r>
          </w:p>
        </w:tc>
        <w:tc>
          <w:tcPr>
            <w:tcW w:w="1701" w:type="dxa"/>
          </w:tcPr>
          <w:p w14:paraId="5DB068AE" w14:textId="5E5C988A" w:rsidR="00E236CE" w:rsidRDefault="00E236CE">
            <w:r>
              <w:t>16980</w:t>
            </w:r>
          </w:p>
        </w:tc>
        <w:tc>
          <w:tcPr>
            <w:tcW w:w="1559" w:type="dxa"/>
          </w:tcPr>
          <w:p w14:paraId="476663ED" w14:textId="6BBC049E" w:rsidR="00E236CE" w:rsidRDefault="00E236CE">
            <w:r>
              <w:t>22000</w:t>
            </w:r>
          </w:p>
        </w:tc>
        <w:tc>
          <w:tcPr>
            <w:tcW w:w="1418" w:type="dxa"/>
          </w:tcPr>
          <w:p w14:paraId="265E310E" w14:textId="3004682A" w:rsidR="00E236CE" w:rsidRDefault="00E236CE">
            <w:r>
              <w:t>5</w:t>
            </w:r>
            <w:r w:rsidR="00FF47CF">
              <w:t>8</w:t>
            </w:r>
          </w:p>
        </w:tc>
        <w:tc>
          <w:tcPr>
            <w:tcW w:w="1417" w:type="dxa"/>
          </w:tcPr>
          <w:p w14:paraId="607D8DB8" w14:textId="52AF0585" w:rsidR="00E236CE" w:rsidRDefault="00976987">
            <w:r>
              <w:t>53</w:t>
            </w:r>
          </w:p>
        </w:tc>
        <w:tc>
          <w:tcPr>
            <w:tcW w:w="1417" w:type="dxa"/>
          </w:tcPr>
          <w:p w14:paraId="7FA01A00" w14:textId="40EFC288" w:rsidR="00E236CE" w:rsidRDefault="00E236CE">
            <w:r>
              <w:t>4</w:t>
            </w:r>
            <w:r w:rsidR="00FF47CF">
              <w:t>5</w:t>
            </w:r>
          </w:p>
        </w:tc>
        <w:tc>
          <w:tcPr>
            <w:tcW w:w="1417" w:type="dxa"/>
          </w:tcPr>
          <w:p w14:paraId="41AE1EC0" w14:textId="344DFC99" w:rsidR="00E236CE" w:rsidRDefault="00251C9F">
            <w:r>
              <w:t>49</w:t>
            </w:r>
          </w:p>
        </w:tc>
      </w:tr>
      <w:tr w:rsidR="00E236CE" w14:paraId="1D1D328D" w14:textId="4FDE854A" w:rsidTr="00FF1D36">
        <w:tc>
          <w:tcPr>
            <w:tcW w:w="2830" w:type="dxa"/>
          </w:tcPr>
          <w:p w14:paraId="5D16C206" w14:textId="09678E37" w:rsidR="00E236CE" w:rsidRDefault="00E236CE" w:rsidP="00E236CE">
            <w:r>
              <w:t>% pupils gaining at least 1 GCSE grade 3+ based on entries</w:t>
            </w:r>
            <w:r w:rsidR="00FF47CF">
              <w:t xml:space="preserve"> (any subject)</w:t>
            </w:r>
          </w:p>
        </w:tc>
        <w:tc>
          <w:tcPr>
            <w:tcW w:w="1843" w:type="dxa"/>
          </w:tcPr>
          <w:p w14:paraId="730A3E1C" w14:textId="4B2570C5" w:rsidR="00E236CE" w:rsidRDefault="00E236CE" w:rsidP="00E236CE">
            <w:r>
              <w:t>5811</w:t>
            </w:r>
          </w:p>
        </w:tc>
        <w:tc>
          <w:tcPr>
            <w:tcW w:w="1701" w:type="dxa"/>
          </w:tcPr>
          <w:p w14:paraId="26E94005" w14:textId="5DAAD6B6" w:rsidR="00E236CE" w:rsidRDefault="00E236CE" w:rsidP="00E236CE">
            <w:r>
              <w:t>16980</w:t>
            </w:r>
          </w:p>
        </w:tc>
        <w:tc>
          <w:tcPr>
            <w:tcW w:w="1559" w:type="dxa"/>
          </w:tcPr>
          <w:p w14:paraId="2BE61A0D" w14:textId="7DFBE2E6" w:rsidR="00E236CE" w:rsidRDefault="00E236CE" w:rsidP="00E236CE">
            <w:r>
              <w:t>22000</w:t>
            </w:r>
          </w:p>
        </w:tc>
        <w:tc>
          <w:tcPr>
            <w:tcW w:w="1418" w:type="dxa"/>
          </w:tcPr>
          <w:p w14:paraId="4D1E43D5" w14:textId="5402F24A" w:rsidR="00E236CE" w:rsidRDefault="00E236CE" w:rsidP="00E236CE">
            <w:r>
              <w:t>34</w:t>
            </w:r>
          </w:p>
        </w:tc>
        <w:tc>
          <w:tcPr>
            <w:tcW w:w="1417" w:type="dxa"/>
          </w:tcPr>
          <w:p w14:paraId="2031B4BF" w14:textId="62DBD758" w:rsidR="00E236CE" w:rsidRDefault="009A6E77" w:rsidP="00E236CE">
            <w:r>
              <w:t>29</w:t>
            </w:r>
          </w:p>
        </w:tc>
        <w:tc>
          <w:tcPr>
            <w:tcW w:w="1417" w:type="dxa"/>
          </w:tcPr>
          <w:p w14:paraId="27896B1C" w14:textId="4906BA7D" w:rsidR="00E236CE" w:rsidRDefault="00E236CE" w:rsidP="00E236CE">
            <w:r>
              <w:t>26.</w:t>
            </w:r>
          </w:p>
        </w:tc>
        <w:tc>
          <w:tcPr>
            <w:tcW w:w="1417" w:type="dxa"/>
          </w:tcPr>
          <w:p w14:paraId="26AC440C" w14:textId="6B3A008C" w:rsidR="00E236CE" w:rsidRDefault="00873F37" w:rsidP="00E236CE">
            <w:r>
              <w:t>26</w:t>
            </w:r>
          </w:p>
        </w:tc>
      </w:tr>
      <w:tr w:rsidR="00E236CE" w14:paraId="5EC7E51E" w14:textId="39BB43DF" w:rsidTr="00FF1D36">
        <w:tc>
          <w:tcPr>
            <w:tcW w:w="2830" w:type="dxa"/>
          </w:tcPr>
          <w:p w14:paraId="0428FB7B" w14:textId="5A243396" w:rsidR="00E236CE" w:rsidRDefault="00E236CE" w:rsidP="00E236CE">
            <w:r>
              <w:t>% pupils gaining at least 1 GCSE grade 4+ based on entries</w:t>
            </w:r>
            <w:r w:rsidR="00FF47CF">
              <w:t xml:space="preserve"> (any subject)</w:t>
            </w:r>
          </w:p>
        </w:tc>
        <w:tc>
          <w:tcPr>
            <w:tcW w:w="1843" w:type="dxa"/>
          </w:tcPr>
          <w:p w14:paraId="1FB16DFD" w14:textId="1DBF8CBA" w:rsidR="00E236CE" w:rsidRDefault="00E236CE" w:rsidP="00E236CE">
            <w:r>
              <w:t>2733</w:t>
            </w:r>
          </w:p>
        </w:tc>
        <w:tc>
          <w:tcPr>
            <w:tcW w:w="1701" w:type="dxa"/>
          </w:tcPr>
          <w:p w14:paraId="74DC7773" w14:textId="7AA2926D" w:rsidR="00E236CE" w:rsidRDefault="00E236CE" w:rsidP="00E236CE">
            <w:r>
              <w:t>16980</w:t>
            </w:r>
          </w:p>
        </w:tc>
        <w:tc>
          <w:tcPr>
            <w:tcW w:w="1559" w:type="dxa"/>
          </w:tcPr>
          <w:p w14:paraId="60566F9B" w14:textId="49D8522A" w:rsidR="00E236CE" w:rsidRDefault="00E236CE" w:rsidP="00E236CE">
            <w:r>
              <w:t>22000</w:t>
            </w:r>
          </w:p>
        </w:tc>
        <w:tc>
          <w:tcPr>
            <w:tcW w:w="1418" w:type="dxa"/>
          </w:tcPr>
          <w:p w14:paraId="33445043" w14:textId="31E7B7B5" w:rsidR="00E236CE" w:rsidRDefault="00E236CE" w:rsidP="00E236CE">
            <w:r>
              <w:t>16</w:t>
            </w:r>
          </w:p>
        </w:tc>
        <w:tc>
          <w:tcPr>
            <w:tcW w:w="1417" w:type="dxa"/>
          </w:tcPr>
          <w:p w14:paraId="64A25BC7" w14:textId="42011F60" w:rsidR="00E236CE" w:rsidRDefault="00152500" w:rsidP="00E236CE">
            <w:r>
              <w:t>13</w:t>
            </w:r>
          </w:p>
        </w:tc>
        <w:tc>
          <w:tcPr>
            <w:tcW w:w="1417" w:type="dxa"/>
          </w:tcPr>
          <w:p w14:paraId="48D42753" w14:textId="3C2A52B0" w:rsidR="00E236CE" w:rsidRDefault="00E236CE" w:rsidP="00E236CE">
            <w:r>
              <w:t>12</w:t>
            </w:r>
          </w:p>
        </w:tc>
        <w:tc>
          <w:tcPr>
            <w:tcW w:w="1417" w:type="dxa"/>
          </w:tcPr>
          <w:p w14:paraId="60278EBD" w14:textId="0C2E980A" w:rsidR="00E236CE" w:rsidRDefault="00586872" w:rsidP="00E236CE">
            <w:r>
              <w:t>12</w:t>
            </w:r>
          </w:p>
        </w:tc>
      </w:tr>
    </w:tbl>
    <w:p w14:paraId="679F6838" w14:textId="77777777" w:rsidR="00243C60" w:rsidRDefault="00243C60"/>
    <w:sectPr w:rsidR="00243C60" w:rsidSect="00EF592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A7"/>
    <w:rsid w:val="00152500"/>
    <w:rsid w:val="00194F9B"/>
    <w:rsid w:val="00243C60"/>
    <w:rsid w:val="00251C9F"/>
    <w:rsid w:val="002736D9"/>
    <w:rsid w:val="00291DFE"/>
    <w:rsid w:val="003774FD"/>
    <w:rsid w:val="00425861"/>
    <w:rsid w:val="00586872"/>
    <w:rsid w:val="006130C6"/>
    <w:rsid w:val="006664A1"/>
    <w:rsid w:val="007238D9"/>
    <w:rsid w:val="00873F37"/>
    <w:rsid w:val="00907961"/>
    <w:rsid w:val="00947D39"/>
    <w:rsid w:val="00976987"/>
    <w:rsid w:val="00993294"/>
    <w:rsid w:val="009A6E77"/>
    <w:rsid w:val="00C73C2B"/>
    <w:rsid w:val="00D114A7"/>
    <w:rsid w:val="00DC3474"/>
    <w:rsid w:val="00DD232D"/>
    <w:rsid w:val="00E236CE"/>
    <w:rsid w:val="00EF592E"/>
    <w:rsid w:val="00F545A5"/>
    <w:rsid w:val="00F5498D"/>
    <w:rsid w:val="00F60636"/>
    <w:rsid w:val="00FC2A06"/>
    <w:rsid w:val="00FF021D"/>
    <w:rsid w:val="00FF4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E1DC"/>
  <w15:chartTrackingRefBased/>
  <w15:docId w15:val="{B44C8037-029B-4FAB-A068-B14EE8A5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1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14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14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14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1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4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14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14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14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14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1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4A7"/>
    <w:rPr>
      <w:rFonts w:eastAsiaTheme="majorEastAsia" w:cstheme="majorBidi"/>
      <w:color w:val="272727" w:themeColor="text1" w:themeTint="D8"/>
    </w:rPr>
  </w:style>
  <w:style w:type="paragraph" w:styleId="Title">
    <w:name w:val="Title"/>
    <w:basedOn w:val="Normal"/>
    <w:next w:val="Normal"/>
    <w:link w:val="TitleChar"/>
    <w:uiPriority w:val="10"/>
    <w:qFormat/>
    <w:rsid w:val="00D11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4A7"/>
    <w:pPr>
      <w:spacing w:before="160"/>
      <w:jc w:val="center"/>
    </w:pPr>
    <w:rPr>
      <w:i/>
      <w:iCs/>
      <w:color w:val="404040" w:themeColor="text1" w:themeTint="BF"/>
    </w:rPr>
  </w:style>
  <w:style w:type="character" w:customStyle="1" w:styleId="QuoteChar">
    <w:name w:val="Quote Char"/>
    <w:basedOn w:val="DefaultParagraphFont"/>
    <w:link w:val="Quote"/>
    <w:uiPriority w:val="29"/>
    <w:rsid w:val="00D114A7"/>
    <w:rPr>
      <w:i/>
      <w:iCs/>
      <w:color w:val="404040" w:themeColor="text1" w:themeTint="BF"/>
    </w:rPr>
  </w:style>
  <w:style w:type="paragraph" w:styleId="ListParagraph">
    <w:name w:val="List Paragraph"/>
    <w:basedOn w:val="Normal"/>
    <w:uiPriority w:val="34"/>
    <w:qFormat/>
    <w:rsid w:val="00D114A7"/>
    <w:pPr>
      <w:ind w:left="720"/>
      <w:contextualSpacing/>
    </w:pPr>
  </w:style>
  <w:style w:type="character" w:styleId="IntenseEmphasis">
    <w:name w:val="Intense Emphasis"/>
    <w:basedOn w:val="DefaultParagraphFont"/>
    <w:uiPriority w:val="21"/>
    <w:qFormat/>
    <w:rsid w:val="00D114A7"/>
    <w:rPr>
      <w:i/>
      <w:iCs/>
      <w:color w:val="2F5496" w:themeColor="accent1" w:themeShade="BF"/>
    </w:rPr>
  </w:style>
  <w:style w:type="paragraph" w:styleId="IntenseQuote">
    <w:name w:val="Intense Quote"/>
    <w:basedOn w:val="Normal"/>
    <w:next w:val="Normal"/>
    <w:link w:val="IntenseQuoteChar"/>
    <w:uiPriority w:val="30"/>
    <w:qFormat/>
    <w:rsid w:val="00D11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14A7"/>
    <w:rPr>
      <w:i/>
      <w:iCs/>
      <w:color w:val="2F5496" w:themeColor="accent1" w:themeShade="BF"/>
    </w:rPr>
  </w:style>
  <w:style w:type="character" w:styleId="IntenseReference">
    <w:name w:val="Intense Reference"/>
    <w:basedOn w:val="DefaultParagraphFont"/>
    <w:uiPriority w:val="32"/>
    <w:qFormat/>
    <w:rsid w:val="00D114A7"/>
    <w:rPr>
      <w:b/>
      <w:bCs/>
      <w:smallCaps/>
      <w:color w:val="2F5496" w:themeColor="accent1" w:themeShade="BF"/>
      <w:spacing w:val="5"/>
    </w:rPr>
  </w:style>
  <w:style w:type="table" w:styleId="TableGrid">
    <w:name w:val="Table Grid"/>
    <w:basedOn w:val="TableNormal"/>
    <w:uiPriority w:val="39"/>
    <w:rsid w:val="00D11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1DFE"/>
    <w:rPr>
      <w:color w:val="0563C1" w:themeColor="hyperlink"/>
      <w:u w:val="single"/>
    </w:rPr>
  </w:style>
  <w:style w:type="character" w:styleId="UnresolvedMention">
    <w:name w:val="Unresolved Mention"/>
    <w:basedOn w:val="DefaultParagraphFont"/>
    <w:uiPriority w:val="99"/>
    <w:semiHidden/>
    <w:unhideWhenUsed/>
    <w:rsid w:val="00291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xplore-education-statistics.service.gov.uk/data-tables/fast-track/3ef43f8b-2bc8-4047-3e0a-08dc65d12a8f" TargetMode="External"/><Relationship Id="rId5" Type="http://schemas.openxmlformats.org/officeDocument/2006/relationships/package" Target="embeddings/Microsoft_Excel_Macro-Enabled_Worksheet.xlsm"/><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Ridley</dc:creator>
  <cp:keywords/>
  <dc:description/>
  <cp:lastModifiedBy>Matthew Ridley</cp:lastModifiedBy>
  <cp:revision>21</cp:revision>
  <dcterms:created xsi:type="dcterms:W3CDTF">2025-06-30T08:31:00Z</dcterms:created>
  <dcterms:modified xsi:type="dcterms:W3CDTF">2025-08-21T10:07:00Z</dcterms:modified>
</cp:coreProperties>
</file>